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496F8" w14:textId="56ADD2D8" w:rsidR="00693DCA" w:rsidRDefault="00693DCA" w:rsidP="008F13E1">
      <w:pPr>
        <w:spacing w:after="160" w:line="259" w:lineRule="auto"/>
        <w:ind w:right="1134"/>
        <w:rPr>
          <w:rFonts w:ascii="Arial" w:hAnsi="Arial" w:cs="Arial"/>
          <w:b/>
          <w:bCs/>
          <w:sz w:val="36"/>
          <w:szCs w:val="36"/>
        </w:rPr>
      </w:pPr>
      <w:r w:rsidRPr="00B5764D">
        <w:rPr>
          <w:rFonts w:ascii="Arial" w:hAnsi="Arial" w:cs="Arial"/>
          <w:b/>
          <w:bCs/>
          <w:sz w:val="36"/>
          <w:szCs w:val="36"/>
        </w:rPr>
        <w:t xml:space="preserve">Wohnungswirtschaft als Schlüsselakteur </w:t>
      </w:r>
    </w:p>
    <w:p w14:paraId="08796198" w14:textId="26564550" w:rsidR="00B66527" w:rsidRPr="00693DCA" w:rsidRDefault="00693DCA" w:rsidP="008F13E1">
      <w:pPr>
        <w:spacing w:line="360" w:lineRule="auto"/>
        <w:ind w:right="1134"/>
        <w:rPr>
          <w:rFonts w:ascii="Arial" w:hAnsi="Arial" w:cs="Arial"/>
          <w:b/>
          <w:bCs/>
          <w:sz w:val="24"/>
          <w:szCs w:val="24"/>
        </w:rPr>
      </w:pPr>
      <w:r w:rsidRPr="00B5764D">
        <w:rPr>
          <w:rFonts w:ascii="Arial" w:hAnsi="Arial" w:cs="Arial"/>
          <w:b/>
          <w:bCs/>
          <w:sz w:val="24"/>
          <w:szCs w:val="24"/>
        </w:rPr>
        <w:t>Kooperation und Open Access treiben Glasfaserausbau voran</w:t>
      </w:r>
    </w:p>
    <w:p w14:paraId="33A1AE68" w14:textId="77777777" w:rsidR="00B66527" w:rsidRDefault="00B66527" w:rsidP="008F13E1">
      <w:pPr>
        <w:pStyle w:val="Textkrper"/>
        <w:kinsoku w:val="0"/>
        <w:overflowPunct w:val="0"/>
        <w:spacing w:line="360" w:lineRule="auto"/>
        <w:ind w:right="1134"/>
        <w:jc w:val="left"/>
        <w:rPr>
          <w:u w:val="single"/>
        </w:rPr>
      </w:pPr>
    </w:p>
    <w:p w14:paraId="7CDB44EE" w14:textId="77777777" w:rsidR="00693DCA" w:rsidRPr="00B5764D" w:rsidRDefault="00693DCA" w:rsidP="008F13E1">
      <w:pPr>
        <w:spacing w:after="160" w:line="259" w:lineRule="auto"/>
        <w:ind w:right="1134"/>
        <w:rPr>
          <w:rFonts w:ascii="Arial" w:hAnsi="Arial" w:cs="Arial"/>
          <w:i/>
          <w:iCs/>
        </w:rPr>
      </w:pPr>
      <w:r w:rsidRPr="00B5764D">
        <w:rPr>
          <w:rFonts w:ascii="Arial" w:hAnsi="Arial" w:cs="Arial"/>
          <w:b/>
          <w:bCs/>
          <w:i/>
          <w:iCs/>
        </w:rPr>
        <w:t>Eine aktuelle Studie beleuchtet die zentrale Rolle der organisierten Wohnungswirtschaft beim bundesweiten FTTH-Ausbau. Bis 2035 strebt die Branche die flächendeckende Erschließung ihrer Bestände an, fordert jedoch klare, investitionsfreundliche Rahmenbedingungen und einen Paradigmenwechsel: Wettbewerb soll auf dem Glasfasernetz stattfinden, nicht durch kostspieligen Doppelausbau.</w:t>
      </w:r>
    </w:p>
    <w:p w14:paraId="78E4CEB7" w14:textId="77777777" w:rsidR="00693DCA" w:rsidRDefault="00693DCA" w:rsidP="00A57D9E">
      <w:pPr>
        <w:pStyle w:val="Textkrper"/>
        <w:kinsoku w:val="0"/>
        <w:overflowPunct w:val="0"/>
        <w:spacing w:line="360" w:lineRule="auto"/>
        <w:ind w:right="1134"/>
        <w:jc w:val="left"/>
        <w:rPr>
          <w:u w:val="single"/>
        </w:rPr>
      </w:pPr>
    </w:p>
    <w:p w14:paraId="2BC18DA6" w14:textId="739CFF7F" w:rsidR="008F13E1" w:rsidRDefault="00693DCA" w:rsidP="00A57D9E">
      <w:pPr>
        <w:spacing w:line="360" w:lineRule="auto"/>
        <w:ind w:right="1134"/>
        <w:rPr>
          <w:rFonts w:ascii="Arial" w:hAnsi="Arial" w:cs="Arial"/>
        </w:rPr>
      </w:pPr>
      <w:r>
        <w:rPr>
          <w:rFonts w:ascii="Arial" w:hAnsi="Arial" w:cs="Arial"/>
          <w:u w:val="single"/>
        </w:rPr>
        <w:t>Frankfurt am Main</w:t>
      </w:r>
      <w:r w:rsidR="00D05066" w:rsidRPr="00D05066">
        <w:rPr>
          <w:rFonts w:ascii="Arial" w:hAnsi="Arial" w:cs="Arial"/>
        </w:rPr>
        <w:t xml:space="preserve"> </w:t>
      </w:r>
      <w:r w:rsidR="0086086A">
        <w:rPr>
          <w:rFonts w:ascii="Arial" w:hAnsi="Arial" w:cs="Arial"/>
        </w:rPr>
        <w:t xml:space="preserve">– </w:t>
      </w:r>
      <w:r w:rsidR="008F13E1" w:rsidRPr="00B5764D">
        <w:rPr>
          <w:rFonts w:ascii="Arial" w:hAnsi="Arial" w:cs="Arial"/>
        </w:rPr>
        <w:t xml:space="preserve">Die Wohnungswirtschaft in Deutschland ist bereit, den flächendeckenden Glasfaserausbau (FTTH) in ihren Beständen </w:t>
      </w:r>
      <w:r w:rsidR="00B40DFB">
        <w:rPr>
          <w:rFonts w:ascii="Arial" w:hAnsi="Arial" w:cs="Arial"/>
        </w:rPr>
        <w:t>entscheidend</w:t>
      </w:r>
      <w:r w:rsidR="00B40DFB" w:rsidRPr="00B5764D">
        <w:rPr>
          <w:rFonts w:ascii="Arial" w:hAnsi="Arial" w:cs="Arial"/>
        </w:rPr>
        <w:t xml:space="preserve"> </w:t>
      </w:r>
      <w:r w:rsidR="008F13E1" w:rsidRPr="00B5764D">
        <w:rPr>
          <w:rFonts w:ascii="Arial" w:hAnsi="Arial" w:cs="Arial"/>
        </w:rPr>
        <w:t xml:space="preserve">voranzutreiben, um das politische Ziel einer Gigabit-Gesellschaft </w:t>
      </w:r>
      <w:r w:rsidR="00CA38B7">
        <w:rPr>
          <w:rFonts w:ascii="Arial" w:hAnsi="Arial" w:cs="Arial"/>
        </w:rPr>
        <w:t xml:space="preserve">mittels Glasfaserausbau </w:t>
      </w:r>
      <w:r w:rsidR="008F13E1" w:rsidRPr="00B5764D">
        <w:rPr>
          <w:rFonts w:ascii="Arial" w:hAnsi="Arial" w:cs="Arial"/>
        </w:rPr>
        <w:t xml:space="preserve">zu erreichen. Eine gemeinsame Studie der Unternehmensgruppe Nassauische Heimstätte | Wohnstadt </w:t>
      </w:r>
      <w:r w:rsidR="00A11104">
        <w:rPr>
          <w:rFonts w:ascii="Arial" w:hAnsi="Arial" w:cs="Arial"/>
        </w:rPr>
        <w:t xml:space="preserve">(NHW) </w:t>
      </w:r>
      <w:r w:rsidR="008F13E1" w:rsidRPr="00B5764D">
        <w:rPr>
          <w:rFonts w:ascii="Arial" w:hAnsi="Arial" w:cs="Arial"/>
        </w:rPr>
        <w:t>und de</w:t>
      </w:r>
      <w:r w:rsidR="008962BB">
        <w:rPr>
          <w:rFonts w:ascii="Arial" w:hAnsi="Arial" w:cs="Arial"/>
        </w:rPr>
        <w:t xml:space="preserve">r </w:t>
      </w:r>
      <w:r w:rsidR="008F13E1" w:rsidRPr="00B5764D">
        <w:rPr>
          <w:rFonts w:ascii="Arial" w:hAnsi="Arial" w:cs="Arial"/>
        </w:rPr>
        <w:t>TKI</w:t>
      </w:r>
      <w:r w:rsidR="008962BB">
        <w:rPr>
          <w:rFonts w:ascii="Arial" w:hAnsi="Arial" w:cs="Arial"/>
        </w:rPr>
        <w:t xml:space="preserve"> mbh</w:t>
      </w:r>
      <w:r w:rsidR="008F13E1" w:rsidRPr="00B5764D">
        <w:rPr>
          <w:rFonts w:ascii="Arial" w:hAnsi="Arial" w:cs="Arial"/>
        </w:rPr>
        <w:t xml:space="preserve">, die Wohnungsunternehmen mit </w:t>
      </w:r>
      <w:r w:rsidR="00B40DFB">
        <w:rPr>
          <w:rFonts w:ascii="Arial" w:hAnsi="Arial" w:cs="Arial"/>
        </w:rPr>
        <w:t xml:space="preserve">insgesamt </w:t>
      </w:r>
      <w:r w:rsidR="008F13E1" w:rsidRPr="00B5764D">
        <w:rPr>
          <w:rFonts w:ascii="Arial" w:hAnsi="Arial" w:cs="Arial"/>
        </w:rPr>
        <w:t>über einer Million Einheiten sowie Experten befragte, unterstreicht dieses Engagement.</w:t>
      </w:r>
      <w:r w:rsidR="00A57D9E">
        <w:rPr>
          <w:rFonts w:ascii="Arial" w:hAnsi="Arial" w:cs="Arial"/>
        </w:rPr>
        <w:t xml:space="preserve"> </w:t>
      </w:r>
      <w:r w:rsidR="008F13E1" w:rsidRPr="00B5764D">
        <w:rPr>
          <w:rFonts w:ascii="Arial" w:hAnsi="Arial" w:cs="Arial"/>
        </w:rPr>
        <w:t xml:space="preserve">Obwohl die große Mehrheit der befragten Unternehmen einen Vollausbau ihrer Einheiten bis 2035 plant, bremsen Komplexität, Fachkräftemangel und unklare regulatorische Vorgaben den Fortschritt, insbesondere im Bestand. Die Branche lehnt Zwangslösungen ab und setzt stattdessen auf freiwillige Kooperationen mit Netzbetreibern. Der zentrale </w:t>
      </w:r>
      <w:r w:rsidR="00B40DFB">
        <w:rPr>
          <w:rFonts w:ascii="Arial" w:hAnsi="Arial" w:cs="Arial"/>
        </w:rPr>
        <w:t>Appell</w:t>
      </w:r>
      <w:r w:rsidR="00B40DFB" w:rsidRPr="00B5764D">
        <w:rPr>
          <w:rFonts w:ascii="Arial" w:hAnsi="Arial" w:cs="Arial"/>
        </w:rPr>
        <w:t xml:space="preserve"> </w:t>
      </w:r>
      <w:r w:rsidR="008F13E1" w:rsidRPr="00B5764D">
        <w:rPr>
          <w:rFonts w:ascii="Arial" w:hAnsi="Arial" w:cs="Arial"/>
        </w:rPr>
        <w:t xml:space="preserve">lautet: Fairer Wettbewerb durch offene Netze (Open Access), um Investitionen zu </w:t>
      </w:r>
      <w:r w:rsidR="00B40DFB">
        <w:rPr>
          <w:rFonts w:ascii="Arial" w:hAnsi="Arial" w:cs="Arial"/>
        </w:rPr>
        <w:t>sichern</w:t>
      </w:r>
      <w:r w:rsidR="00B40DFB" w:rsidRPr="00B5764D">
        <w:rPr>
          <w:rFonts w:ascii="Arial" w:hAnsi="Arial" w:cs="Arial"/>
        </w:rPr>
        <w:t xml:space="preserve"> </w:t>
      </w:r>
      <w:r w:rsidR="008F13E1" w:rsidRPr="00B5764D">
        <w:rPr>
          <w:rFonts w:ascii="Arial" w:hAnsi="Arial" w:cs="Arial"/>
        </w:rPr>
        <w:t>und Monopole zu verhindern.</w:t>
      </w:r>
    </w:p>
    <w:p w14:paraId="556DE313" w14:textId="77777777" w:rsidR="00A57D9E" w:rsidRDefault="00A57D9E" w:rsidP="00A57D9E">
      <w:pPr>
        <w:spacing w:line="360" w:lineRule="auto"/>
        <w:rPr>
          <w:rFonts w:ascii="Arial" w:hAnsi="Arial" w:cs="Arial"/>
        </w:rPr>
      </w:pPr>
    </w:p>
    <w:p w14:paraId="44406BFC" w14:textId="40B0B072" w:rsidR="00A57D9E" w:rsidRPr="00B5764D" w:rsidRDefault="00A57D9E" w:rsidP="00A57D9E">
      <w:pPr>
        <w:spacing w:line="360" w:lineRule="auto"/>
        <w:rPr>
          <w:rFonts w:ascii="Arial" w:hAnsi="Arial" w:cs="Arial"/>
          <w:b/>
          <w:bCs/>
        </w:rPr>
      </w:pPr>
      <w:r w:rsidRPr="00B5764D">
        <w:rPr>
          <w:rFonts w:ascii="Arial" w:hAnsi="Arial" w:cs="Arial"/>
          <w:b/>
          <w:bCs/>
        </w:rPr>
        <w:t>Ehrgeizige Ziele im institutionellen Wohnungsbestand</w:t>
      </w:r>
    </w:p>
    <w:p w14:paraId="767B6FA5" w14:textId="6995AA4D" w:rsidR="00A57D9E" w:rsidRPr="00B5764D" w:rsidRDefault="00A57D9E" w:rsidP="00A57D9E">
      <w:pPr>
        <w:spacing w:line="360" w:lineRule="auto"/>
        <w:ind w:right="1134"/>
        <w:rPr>
          <w:rFonts w:ascii="Arial" w:hAnsi="Arial" w:cs="Arial"/>
        </w:rPr>
      </w:pPr>
      <w:r w:rsidRPr="00B5764D">
        <w:rPr>
          <w:rFonts w:ascii="Arial" w:hAnsi="Arial" w:cs="Arial"/>
        </w:rPr>
        <w:t xml:space="preserve">Die organisierte Wohnungswirtschaft verwaltet mit rund 9,1 Millionen vermieteten Wohnungen den größten institutionellen Bestand Deutschlands und ist damit ein </w:t>
      </w:r>
      <w:r w:rsidRPr="00B5764D">
        <w:rPr>
          <w:rFonts w:ascii="Arial" w:hAnsi="Arial" w:cs="Arial"/>
        </w:rPr>
        <w:lastRenderedPageBreak/>
        <w:t xml:space="preserve">unverzichtbarer Akteur für Infrastrukturmaßnahmen. Die Studienergebnisse belegen ein klares Bekenntnis zum </w:t>
      </w:r>
      <w:r w:rsidR="00B40DFB">
        <w:rPr>
          <w:rFonts w:ascii="Arial" w:hAnsi="Arial" w:cs="Arial"/>
        </w:rPr>
        <w:t>Glasfaser-</w:t>
      </w:r>
      <w:r w:rsidRPr="00B5764D">
        <w:rPr>
          <w:rFonts w:ascii="Arial" w:hAnsi="Arial" w:cs="Arial"/>
        </w:rPr>
        <w:t xml:space="preserve">Vollausbau: Bereits heute sind alle </w:t>
      </w:r>
      <w:r w:rsidR="00B40DFB">
        <w:rPr>
          <w:rFonts w:ascii="Arial" w:hAnsi="Arial" w:cs="Arial"/>
        </w:rPr>
        <w:t>befragten Unternehmen</w:t>
      </w:r>
      <w:r w:rsidR="00B40DFB" w:rsidRPr="00B5764D">
        <w:rPr>
          <w:rFonts w:ascii="Arial" w:hAnsi="Arial" w:cs="Arial"/>
        </w:rPr>
        <w:t xml:space="preserve"> </w:t>
      </w:r>
      <w:r w:rsidRPr="00B5764D">
        <w:rPr>
          <w:rFonts w:ascii="Arial" w:hAnsi="Arial" w:cs="Arial"/>
        </w:rPr>
        <w:t>mit dem Thema FTTH befasst, und die große Mehrheit (über 64 %) befindet sich bereits in der Ausbauphase. Noch ambitionierter: Die klare Mehrheit der Befragten plant die vollständige oder weitgehende Erschließung ihrer Einheiten mit Glasfaser. Dieses Bekenntnis, größtenteils eine Fertigstellung bis zum Bundes-Zieljahr 2030 anzustreben, macht das Engagement der W</w:t>
      </w:r>
      <w:r w:rsidR="00691296">
        <w:rPr>
          <w:rFonts w:ascii="Arial" w:hAnsi="Arial" w:cs="Arial"/>
        </w:rPr>
        <w:t>ohnungswirtschaft</w:t>
      </w:r>
      <w:r w:rsidRPr="00B5764D">
        <w:rPr>
          <w:rFonts w:ascii="Arial" w:hAnsi="Arial" w:cs="Arial"/>
        </w:rPr>
        <w:t xml:space="preserve"> zum </w:t>
      </w:r>
      <w:r w:rsidR="00795C9A">
        <w:rPr>
          <w:rFonts w:ascii="Arial" w:hAnsi="Arial" w:cs="Arial"/>
        </w:rPr>
        <w:t>entscheidenden</w:t>
      </w:r>
      <w:r w:rsidR="00795C9A" w:rsidRPr="00B5764D">
        <w:rPr>
          <w:rFonts w:ascii="Arial" w:hAnsi="Arial" w:cs="Arial"/>
        </w:rPr>
        <w:t xml:space="preserve"> </w:t>
      </w:r>
      <w:r w:rsidRPr="00B5764D">
        <w:rPr>
          <w:rFonts w:ascii="Arial" w:hAnsi="Arial" w:cs="Arial"/>
        </w:rPr>
        <w:t>Faktor für die Erreichung der nationalen Ausbauziele.</w:t>
      </w:r>
    </w:p>
    <w:p w14:paraId="06714AD0" w14:textId="77777777" w:rsidR="00A57D9E" w:rsidRDefault="00A57D9E" w:rsidP="00A57D9E">
      <w:pPr>
        <w:spacing w:line="360" w:lineRule="auto"/>
        <w:rPr>
          <w:rFonts w:ascii="Arial" w:hAnsi="Arial" w:cs="Arial"/>
        </w:rPr>
      </w:pPr>
    </w:p>
    <w:p w14:paraId="7877099E" w14:textId="62088E72" w:rsidR="00A57D9E" w:rsidRPr="00B5764D" w:rsidRDefault="00A57D9E" w:rsidP="00A57D9E">
      <w:pPr>
        <w:spacing w:line="360" w:lineRule="auto"/>
        <w:rPr>
          <w:rFonts w:ascii="Arial" w:hAnsi="Arial" w:cs="Arial"/>
          <w:b/>
          <w:bCs/>
        </w:rPr>
      </w:pPr>
      <w:r w:rsidRPr="00A57D9E">
        <w:rPr>
          <w:rFonts w:ascii="Arial" w:hAnsi="Arial" w:cs="Arial"/>
          <w:b/>
          <w:bCs/>
        </w:rPr>
        <w:t>Anschlussquote</w:t>
      </w:r>
      <w:r>
        <w:rPr>
          <w:rFonts w:ascii="Arial" w:hAnsi="Arial" w:cs="Arial"/>
          <w:b/>
          <w:bCs/>
        </w:rPr>
        <w:t xml:space="preserve"> bleibt </w:t>
      </w:r>
      <w:r w:rsidRPr="00B5764D">
        <w:rPr>
          <w:rFonts w:ascii="Arial" w:hAnsi="Arial" w:cs="Arial"/>
          <w:b/>
          <w:bCs/>
        </w:rPr>
        <w:t>größte Herausforderung</w:t>
      </w:r>
      <w:r>
        <w:rPr>
          <w:rFonts w:ascii="Arial" w:hAnsi="Arial" w:cs="Arial"/>
          <w:b/>
          <w:bCs/>
        </w:rPr>
        <w:t xml:space="preserve"> im Bestand</w:t>
      </w:r>
    </w:p>
    <w:p w14:paraId="09B8FC32" w14:textId="2DB34C7A" w:rsidR="00A57D9E" w:rsidRPr="00B5764D" w:rsidRDefault="00A57D9E" w:rsidP="00A57D9E">
      <w:pPr>
        <w:spacing w:line="360" w:lineRule="auto"/>
        <w:ind w:right="1134"/>
        <w:rPr>
          <w:rFonts w:ascii="Arial" w:hAnsi="Arial" w:cs="Arial"/>
        </w:rPr>
      </w:pPr>
      <w:r w:rsidRPr="00B5764D">
        <w:rPr>
          <w:rFonts w:ascii="Arial" w:hAnsi="Arial" w:cs="Arial"/>
        </w:rPr>
        <w:t xml:space="preserve">Trotz des </w:t>
      </w:r>
      <w:r w:rsidR="00795C9A">
        <w:rPr>
          <w:rFonts w:ascii="Arial" w:hAnsi="Arial" w:cs="Arial"/>
        </w:rPr>
        <w:t xml:space="preserve">starken </w:t>
      </w:r>
      <w:r w:rsidRPr="00B5764D">
        <w:rPr>
          <w:rFonts w:ascii="Arial" w:hAnsi="Arial" w:cs="Arial"/>
        </w:rPr>
        <w:t xml:space="preserve">Engagements klafft aktuell eine Lücke zwischen Ausbauaktivität und tatsächlicher Anschlussquote ("Homes Connected"), die mit der bundesweiten Quote von circa 27,3 % vergleichbar ist. Das liegt daran, dass der Ausbau vor allem in Neubauten bereits Standard ist, während die komplexe Erschließung des Bestandes noch am Anfang steht. </w:t>
      </w:r>
      <w:r w:rsidR="00795C9A" w:rsidRPr="00795C9A">
        <w:rPr>
          <w:rFonts w:ascii="Arial" w:hAnsi="Arial" w:cs="Arial"/>
        </w:rPr>
        <w:t>Dabei treten vor allem folgende Hürden zutage:</w:t>
      </w:r>
    </w:p>
    <w:p w14:paraId="18AFBF24" w14:textId="71DB7EDE" w:rsidR="00A57D9E" w:rsidRPr="00B5764D" w:rsidRDefault="00A57D9E" w:rsidP="00A57D9E">
      <w:pPr>
        <w:numPr>
          <w:ilvl w:val="0"/>
          <w:numId w:val="1"/>
        </w:numPr>
        <w:spacing w:line="360" w:lineRule="auto"/>
        <w:ind w:right="1134"/>
        <w:rPr>
          <w:rFonts w:ascii="Arial" w:hAnsi="Arial" w:cs="Arial"/>
        </w:rPr>
      </w:pPr>
      <w:r w:rsidRPr="00B5764D">
        <w:rPr>
          <w:rFonts w:ascii="Arial" w:hAnsi="Arial" w:cs="Arial"/>
        </w:rPr>
        <w:t xml:space="preserve">Kapazitätsengpässe: Fehlende Baukapazitäten und </w:t>
      </w:r>
      <w:r w:rsidR="00795C9A">
        <w:rPr>
          <w:rFonts w:ascii="Arial" w:hAnsi="Arial" w:cs="Arial"/>
        </w:rPr>
        <w:t xml:space="preserve">akuter </w:t>
      </w:r>
      <w:r w:rsidRPr="00B5764D">
        <w:rPr>
          <w:rFonts w:ascii="Arial" w:hAnsi="Arial" w:cs="Arial"/>
        </w:rPr>
        <w:t>Fachkräftemangel.</w:t>
      </w:r>
    </w:p>
    <w:p w14:paraId="29448BAA" w14:textId="06853CC6" w:rsidR="00A57D9E" w:rsidRPr="00B5764D" w:rsidRDefault="00A57D9E" w:rsidP="00A57D9E">
      <w:pPr>
        <w:numPr>
          <w:ilvl w:val="0"/>
          <w:numId w:val="1"/>
        </w:numPr>
        <w:spacing w:line="360" w:lineRule="auto"/>
        <w:ind w:right="1134"/>
        <w:rPr>
          <w:rFonts w:ascii="Arial" w:hAnsi="Arial" w:cs="Arial"/>
        </w:rPr>
      </w:pPr>
      <w:r w:rsidRPr="00B5764D">
        <w:rPr>
          <w:rFonts w:ascii="Arial" w:hAnsi="Arial" w:cs="Arial"/>
        </w:rPr>
        <w:t xml:space="preserve">Regulatorische Komplexität: Unklare Gesetzeslagen, langwierige und komplexe Genehmigungsprozesse (Netzebene 3) sowie die </w:t>
      </w:r>
      <w:r w:rsidR="00795C9A">
        <w:rPr>
          <w:rFonts w:ascii="Arial" w:hAnsi="Arial" w:cs="Arial"/>
        </w:rPr>
        <w:t xml:space="preserve">anspruchsvolle </w:t>
      </w:r>
      <w:r w:rsidRPr="00B5764D">
        <w:rPr>
          <w:rFonts w:ascii="Arial" w:hAnsi="Arial" w:cs="Arial"/>
        </w:rPr>
        <w:t>Inhouse-Verkabelung (Netzebene 4).</w:t>
      </w:r>
    </w:p>
    <w:p w14:paraId="45AECC74" w14:textId="01FEF7EB" w:rsidR="00A57D9E" w:rsidRPr="00B5764D" w:rsidRDefault="00A57D9E" w:rsidP="00A57D9E">
      <w:pPr>
        <w:numPr>
          <w:ilvl w:val="0"/>
          <w:numId w:val="1"/>
        </w:numPr>
        <w:spacing w:line="360" w:lineRule="auto"/>
        <w:ind w:right="1134"/>
        <w:rPr>
          <w:rFonts w:ascii="Arial" w:hAnsi="Arial" w:cs="Arial"/>
        </w:rPr>
      </w:pPr>
      <w:r w:rsidRPr="00B5764D">
        <w:rPr>
          <w:rFonts w:ascii="Arial" w:hAnsi="Arial" w:cs="Arial"/>
        </w:rPr>
        <w:t xml:space="preserve">Wirtschaftlichkeit: Für die Mehrheit der Unternehmen </w:t>
      </w:r>
      <w:r w:rsidR="00795C9A">
        <w:rPr>
          <w:rFonts w:ascii="Arial" w:hAnsi="Arial" w:cs="Arial"/>
        </w:rPr>
        <w:t>sind</w:t>
      </w:r>
      <w:r w:rsidR="00795C9A" w:rsidRPr="00B5764D">
        <w:rPr>
          <w:rFonts w:ascii="Arial" w:hAnsi="Arial" w:cs="Arial"/>
        </w:rPr>
        <w:t xml:space="preserve"> </w:t>
      </w:r>
      <w:r w:rsidRPr="00B5764D">
        <w:rPr>
          <w:rFonts w:ascii="Arial" w:hAnsi="Arial" w:cs="Arial"/>
        </w:rPr>
        <w:t>nur Investitionsbeträge zwischen 250 € und 499 € Netto-Baukosten pro Wohneinheit (Netzebene 4) wirtschaftlich tragfähig.</w:t>
      </w:r>
    </w:p>
    <w:p w14:paraId="3FB1A0A3" w14:textId="77777777" w:rsidR="00691296" w:rsidRDefault="00691296">
      <w:pPr>
        <w:rPr>
          <w:rFonts w:ascii="Arial" w:hAnsi="Arial" w:cs="Arial"/>
          <w:b/>
          <w:bCs/>
        </w:rPr>
      </w:pPr>
      <w:r>
        <w:rPr>
          <w:rFonts w:ascii="Arial" w:hAnsi="Arial" w:cs="Arial"/>
          <w:b/>
          <w:bCs/>
        </w:rPr>
        <w:br w:type="page"/>
      </w:r>
    </w:p>
    <w:p w14:paraId="5DE653DB" w14:textId="0CE4C6F7" w:rsidR="00A57D9E" w:rsidRPr="00B5764D" w:rsidRDefault="00A57D9E" w:rsidP="00A57D9E">
      <w:pPr>
        <w:spacing w:line="360" w:lineRule="auto"/>
        <w:rPr>
          <w:rFonts w:ascii="Arial" w:hAnsi="Arial" w:cs="Arial"/>
          <w:b/>
          <w:bCs/>
        </w:rPr>
      </w:pPr>
      <w:r w:rsidRPr="00B5764D">
        <w:rPr>
          <w:rFonts w:ascii="Arial" w:hAnsi="Arial" w:cs="Arial"/>
          <w:b/>
          <w:bCs/>
        </w:rPr>
        <w:lastRenderedPageBreak/>
        <w:t>Kooperation statt Brechstange: Der Ruf nach fairen Regeln</w:t>
      </w:r>
    </w:p>
    <w:p w14:paraId="78C82FF5" w14:textId="2BEE0943" w:rsidR="00A57D9E" w:rsidRPr="00375CAC" w:rsidRDefault="00A57D9E" w:rsidP="00696EAC">
      <w:pPr>
        <w:spacing w:line="360" w:lineRule="auto"/>
        <w:ind w:right="1134"/>
        <w:rPr>
          <w:rFonts w:ascii="Arial" w:hAnsi="Arial" w:cs="Arial"/>
        </w:rPr>
      </w:pPr>
      <w:r w:rsidRPr="00B5764D">
        <w:rPr>
          <w:rFonts w:ascii="Arial" w:hAnsi="Arial" w:cs="Arial"/>
        </w:rPr>
        <w:t xml:space="preserve">Die Wohnungswirtschaft spricht sich vehement gegen einen regulatorischen Zwangsausbau aus, wie er durch pauschale Duldungspflichten oder ein uneingeschränktes Recht auf Vollausbau entstehen könnte. Stattdessen </w:t>
      </w:r>
      <w:r w:rsidR="00691296">
        <w:rPr>
          <w:rFonts w:ascii="Arial" w:hAnsi="Arial" w:cs="Arial"/>
        </w:rPr>
        <w:t>setzt sie auf</w:t>
      </w:r>
      <w:r w:rsidRPr="00B5764D">
        <w:rPr>
          <w:rFonts w:ascii="Arial" w:hAnsi="Arial" w:cs="Arial"/>
        </w:rPr>
        <w:t xml:space="preserve"> freiwillige und geschützte Kooperationen mit Netzbetreibern, um Planungssicherheit und Akzeptanz zu </w:t>
      </w:r>
      <w:r w:rsidR="00795C9A">
        <w:rPr>
          <w:rFonts w:ascii="Arial" w:hAnsi="Arial" w:cs="Arial"/>
        </w:rPr>
        <w:t>gewährleisten</w:t>
      </w:r>
      <w:r w:rsidRPr="00B5764D">
        <w:rPr>
          <w:rFonts w:ascii="Arial" w:hAnsi="Arial" w:cs="Arial"/>
        </w:rPr>
        <w:t xml:space="preserve">. Zwangslösungen werden als Bedrohung der Investitionssicherheit und der </w:t>
      </w:r>
      <w:r w:rsidR="00AE465A">
        <w:rPr>
          <w:rFonts w:ascii="Arial" w:hAnsi="Arial" w:cs="Arial"/>
        </w:rPr>
        <w:t>Wahlfreiheit</w:t>
      </w:r>
      <w:r w:rsidR="00AE465A" w:rsidRPr="00B5764D">
        <w:rPr>
          <w:rFonts w:ascii="Arial" w:hAnsi="Arial" w:cs="Arial"/>
        </w:rPr>
        <w:t xml:space="preserve"> </w:t>
      </w:r>
      <w:r w:rsidRPr="00B5764D">
        <w:rPr>
          <w:rFonts w:ascii="Arial" w:hAnsi="Arial" w:cs="Arial"/>
        </w:rPr>
        <w:t>der Wo</w:t>
      </w:r>
      <w:r>
        <w:rPr>
          <w:rFonts w:ascii="Arial" w:hAnsi="Arial" w:cs="Arial"/>
        </w:rPr>
        <w:t>hnungswirtschaft</w:t>
      </w:r>
      <w:r w:rsidRPr="00B5764D">
        <w:rPr>
          <w:rFonts w:ascii="Arial" w:hAnsi="Arial" w:cs="Arial"/>
        </w:rPr>
        <w:t xml:space="preserve"> betrachtet.</w:t>
      </w:r>
      <w:r w:rsidR="00696EAC">
        <w:rPr>
          <w:rFonts w:ascii="Arial" w:hAnsi="Arial" w:cs="Arial"/>
        </w:rPr>
        <w:t xml:space="preserve"> </w:t>
      </w:r>
      <w:r w:rsidR="00375CAC">
        <w:rPr>
          <w:rFonts w:ascii="Arial" w:hAnsi="Arial" w:cs="Arial"/>
        </w:rPr>
        <w:t xml:space="preserve">Die Wohnungswirtschaft fordert </w:t>
      </w:r>
      <w:r w:rsidR="00696EAC">
        <w:rPr>
          <w:rFonts w:ascii="Arial" w:hAnsi="Arial" w:cs="Arial"/>
        </w:rPr>
        <w:t xml:space="preserve">daher </w:t>
      </w:r>
      <w:r w:rsidR="00375CAC">
        <w:rPr>
          <w:rFonts w:ascii="Arial" w:hAnsi="Arial" w:cs="Arial"/>
        </w:rPr>
        <w:t xml:space="preserve">einen Paradigmenwechsel </w:t>
      </w:r>
      <w:r w:rsidRPr="00375CAC">
        <w:rPr>
          <w:rFonts w:ascii="Arial" w:hAnsi="Arial" w:cs="Arial"/>
        </w:rPr>
        <w:t>im Wettbewerbsrecht</w:t>
      </w:r>
      <w:r w:rsidR="00696EAC">
        <w:rPr>
          <w:rFonts w:ascii="Arial" w:hAnsi="Arial" w:cs="Arial"/>
        </w:rPr>
        <w:t xml:space="preserve"> mit Fokus auf Wettbewerb auf der Dienste- und Anbieterebene, Investitionsschutz und Abschaffung der Konzernklausel.</w:t>
      </w:r>
    </w:p>
    <w:p w14:paraId="1BE4B999" w14:textId="77777777" w:rsidR="00691296" w:rsidRPr="00B5764D" w:rsidRDefault="00691296" w:rsidP="00A57D9E">
      <w:pPr>
        <w:spacing w:line="360" w:lineRule="auto"/>
        <w:rPr>
          <w:rFonts w:ascii="Arial" w:hAnsi="Arial" w:cs="Arial"/>
        </w:rPr>
      </w:pPr>
    </w:p>
    <w:p w14:paraId="3155B08E" w14:textId="77BB9D9B" w:rsidR="00A57D9E" w:rsidRPr="00B5764D" w:rsidRDefault="00A57D9E" w:rsidP="00A57D9E">
      <w:pPr>
        <w:spacing w:line="360" w:lineRule="auto"/>
        <w:ind w:right="1134"/>
        <w:rPr>
          <w:rFonts w:ascii="Arial" w:hAnsi="Arial" w:cs="Arial"/>
          <w:b/>
          <w:bCs/>
        </w:rPr>
      </w:pPr>
      <w:r w:rsidRPr="00B5764D">
        <w:rPr>
          <w:rFonts w:ascii="Arial" w:hAnsi="Arial" w:cs="Arial"/>
          <w:b/>
          <w:bCs/>
        </w:rPr>
        <w:t>Glasfaserbereitstellungsentgelt: Notwendig, aber optimierungsbedürftig</w:t>
      </w:r>
    </w:p>
    <w:p w14:paraId="3F62F541" w14:textId="4385D291" w:rsidR="00A57D9E" w:rsidRDefault="00A57D9E" w:rsidP="00A57D9E">
      <w:pPr>
        <w:spacing w:line="360" w:lineRule="auto"/>
        <w:ind w:right="1134"/>
        <w:rPr>
          <w:rFonts w:ascii="Arial" w:hAnsi="Arial" w:cs="Arial"/>
        </w:rPr>
      </w:pPr>
      <w:r w:rsidRPr="00B5764D">
        <w:rPr>
          <w:rFonts w:ascii="Arial" w:hAnsi="Arial" w:cs="Arial"/>
        </w:rPr>
        <w:t xml:space="preserve">Das </w:t>
      </w:r>
      <w:r>
        <w:rPr>
          <w:rFonts w:ascii="Arial" w:hAnsi="Arial" w:cs="Arial"/>
        </w:rPr>
        <w:t>Glasfaserbereitstellungsentgelt (</w:t>
      </w:r>
      <w:r w:rsidRPr="00B5764D">
        <w:rPr>
          <w:rFonts w:ascii="Arial" w:hAnsi="Arial" w:cs="Arial"/>
        </w:rPr>
        <w:t>GBE</w:t>
      </w:r>
      <w:r>
        <w:rPr>
          <w:rFonts w:ascii="Arial" w:hAnsi="Arial" w:cs="Arial"/>
        </w:rPr>
        <w:t>)</w:t>
      </w:r>
      <w:r w:rsidRPr="00B5764D">
        <w:rPr>
          <w:rFonts w:ascii="Arial" w:hAnsi="Arial" w:cs="Arial"/>
        </w:rPr>
        <w:t xml:space="preserve">, das Vermietern seit 2021 die Umlage von Kosten für neue Glasfaser-Inhouse-Netze auf Mieter ermöglicht, spielt laut Umfrage bislang nur eine untergeordnete Rolle als Finanzierungsmodell. Dies steht im Einklang mit der allgemeinen Marktwahrnehmung. Die Experten der Studie sehen zwar die Verlängerung der GBE-Regelungen bis 2032 positiv, fordern jedoch eine Anhebung der Entgelte (derzeit maximal 60 €/Jahr) und eine einfachere, unbürokratische Gestaltung, um das GBE </w:t>
      </w:r>
      <w:r w:rsidR="00EC46C3">
        <w:rPr>
          <w:rFonts w:ascii="Arial" w:hAnsi="Arial" w:cs="Arial"/>
        </w:rPr>
        <w:t>als</w:t>
      </w:r>
      <w:r w:rsidRPr="00B5764D">
        <w:rPr>
          <w:rFonts w:ascii="Arial" w:hAnsi="Arial" w:cs="Arial"/>
        </w:rPr>
        <w:t xml:space="preserve"> attraktivere</w:t>
      </w:r>
      <w:r w:rsidR="00EC46C3">
        <w:rPr>
          <w:rFonts w:ascii="Arial" w:hAnsi="Arial" w:cs="Arial"/>
        </w:rPr>
        <w:t>s</w:t>
      </w:r>
      <w:r w:rsidRPr="00B5764D">
        <w:rPr>
          <w:rFonts w:ascii="Arial" w:hAnsi="Arial" w:cs="Arial"/>
        </w:rPr>
        <w:t xml:space="preserve"> Finanzierungsinstrument zu </w:t>
      </w:r>
      <w:r w:rsidR="00EC46C3">
        <w:rPr>
          <w:rFonts w:ascii="Arial" w:hAnsi="Arial" w:cs="Arial"/>
        </w:rPr>
        <w:t>aktivieren</w:t>
      </w:r>
      <w:r w:rsidRPr="00B5764D">
        <w:rPr>
          <w:rFonts w:ascii="Arial" w:hAnsi="Arial" w:cs="Arial"/>
        </w:rPr>
        <w:t>. Zudem wird eine Verknüpfung mit einem attraktiven Basis-Internetdienst als Steigerung der Akzeptanz bei Mietern empfohlen.</w:t>
      </w:r>
    </w:p>
    <w:p w14:paraId="199BE849" w14:textId="77777777" w:rsidR="00A57D9E" w:rsidRPr="00B5764D" w:rsidRDefault="00A57D9E" w:rsidP="00A57D9E">
      <w:pPr>
        <w:spacing w:line="360" w:lineRule="auto"/>
        <w:ind w:right="1134"/>
        <w:rPr>
          <w:rFonts w:ascii="Arial" w:hAnsi="Arial" w:cs="Arial"/>
        </w:rPr>
      </w:pPr>
    </w:p>
    <w:p w14:paraId="526784E5" w14:textId="2DC237F1" w:rsidR="00A57D9E" w:rsidRPr="00B5764D" w:rsidRDefault="00A57D9E" w:rsidP="00A57D9E">
      <w:pPr>
        <w:spacing w:line="360" w:lineRule="auto"/>
        <w:rPr>
          <w:rFonts w:ascii="Arial" w:hAnsi="Arial" w:cs="Arial"/>
          <w:b/>
          <w:bCs/>
        </w:rPr>
      </w:pPr>
      <w:r w:rsidRPr="00B5764D">
        <w:rPr>
          <w:rFonts w:ascii="Arial" w:hAnsi="Arial" w:cs="Arial"/>
          <w:b/>
          <w:bCs/>
        </w:rPr>
        <w:t>Der Weg zur digitalen Gigabit-Gesellschaft führt über Kooperation</w:t>
      </w:r>
    </w:p>
    <w:p w14:paraId="197AEE7E" w14:textId="65CACEAF" w:rsidR="00A57D9E" w:rsidRPr="00B5764D" w:rsidRDefault="00A57D9E" w:rsidP="00A57D9E">
      <w:pPr>
        <w:spacing w:line="360" w:lineRule="auto"/>
        <w:ind w:right="1134"/>
        <w:rPr>
          <w:rFonts w:ascii="Arial" w:hAnsi="Arial" w:cs="Arial"/>
        </w:rPr>
      </w:pPr>
      <w:r w:rsidRPr="00B5764D">
        <w:rPr>
          <w:rFonts w:ascii="Arial" w:hAnsi="Arial" w:cs="Arial"/>
        </w:rPr>
        <w:t xml:space="preserve">Die Wohnungswirtschaft beweist eine hohe Ausbau- und Investitionsbereitschaft für FTTH und </w:t>
      </w:r>
      <w:r w:rsidR="00AE465A">
        <w:rPr>
          <w:rFonts w:ascii="Arial" w:hAnsi="Arial" w:cs="Arial"/>
        </w:rPr>
        <w:t>versteht</w:t>
      </w:r>
      <w:r w:rsidR="00AE465A" w:rsidRPr="00B5764D">
        <w:rPr>
          <w:rFonts w:ascii="Arial" w:hAnsi="Arial" w:cs="Arial"/>
        </w:rPr>
        <w:t xml:space="preserve"> </w:t>
      </w:r>
      <w:r w:rsidRPr="00B5764D">
        <w:rPr>
          <w:rFonts w:ascii="Arial" w:hAnsi="Arial" w:cs="Arial"/>
        </w:rPr>
        <w:t xml:space="preserve">sich selbst als unverzichtbaren Motor für die Gigabit-Gesellschaft. Das Ziel des flächendeckenden Ausbaus ihrer Bestände bis 2035 ist </w:t>
      </w:r>
      <w:r w:rsidRPr="00B5764D">
        <w:rPr>
          <w:rFonts w:ascii="Arial" w:hAnsi="Arial" w:cs="Arial"/>
        </w:rPr>
        <w:lastRenderedPageBreak/>
        <w:t>klar gesteckt.</w:t>
      </w:r>
      <w:r>
        <w:rPr>
          <w:rFonts w:ascii="Arial" w:hAnsi="Arial" w:cs="Arial"/>
        </w:rPr>
        <w:t xml:space="preserve"> </w:t>
      </w:r>
      <w:r w:rsidRPr="00B5764D">
        <w:rPr>
          <w:rFonts w:ascii="Arial" w:hAnsi="Arial" w:cs="Arial"/>
        </w:rPr>
        <w:t>Der Erfolg hängt jedoch maßgeblich davon ab, ob die politischen Rahmenbedingungen die Investitionen der Wo</w:t>
      </w:r>
      <w:r>
        <w:rPr>
          <w:rFonts w:ascii="Arial" w:hAnsi="Arial" w:cs="Arial"/>
        </w:rPr>
        <w:t>hnungsw</w:t>
      </w:r>
      <w:r w:rsidRPr="00B5764D">
        <w:rPr>
          <w:rFonts w:ascii="Arial" w:hAnsi="Arial" w:cs="Arial"/>
        </w:rPr>
        <w:t>i</w:t>
      </w:r>
      <w:r>
        <w:rPr>
          <w:rFonts w:ascii="Arial" w:hAnsi="Arial" w:cs="Arial"/>
        </w:rPr>
        <w:t>rtschaft</w:t>
      </w:r>
      <w:r w:rsidRPr="00B5764D">
        <w:rPr>
          <w:rFonts w:ascii="Arial" w:hAnsi="Arial" w:cs="Arial"/>
        </w:rPr>
        <w:t xml:space="preserve"> und ihrer Kooperationspartner </w:t>
      </w:r>
      <w:r w:rsidR="00AE465A">
        <w:rPr>
          <w:rFonts w:ascii="Arial" w:hAnsi="Arial" w:cs="Arial"/>
        </w:rPr>
        <w:t>wirksam</w:t>
      </w:r>
      <w:r w:rsidR="00AE465A" w:rsidRPr="00B5764D">
        <w:rPr>
          <w:rFonts w:ascii="Arial" w:hAnsi="Arial" w:cs="Arial"/>
        </w:rPr>
        <w:t xml:space="preserve"> </w:t>
      </w:r>
      <w:r w:rsidRPr="00B5764D">
        <w:rPr>
          <w:rFonts w:ascii="Arial" w:hAnsi="Arial" w:cs="Arial"/>
        </w:rPr>
        <w:t xml:space="preserve">schützen und fördern. Regulatorische Eingriffe, die auf Zwang und Überbau setzen, werden als kontraproduktiv abgelehnt. Der Konsens ist </w:t>
      </w:r>
      <w:r w:rsidR="00AE465A">
        <w:rPr>
          <w:rFonts w:ascii="Arial" w:hAnsi="Arial" w:cs="Arial"/>
        </w:rPr>
        <w:t>eindeutig</w:t>
      </w:r>
      <w:r w:rsidRPr="00B5764D">
        <w:rPr>
          <w:rFonts w:ascii="Arial" w:hAnsi="Arial" w:cs="Arial"/>
        </w:rPr>
        <w:t xml:space="preserve">: Klare, einheitliche Standards, Open-Access-Modelle, Investitionsschutz für Erstausbauer und eine praxisnahe Reduktion von Bürokratie sind die notwendigen Schritte, um die ehrgeizigen Ausbauziele zu erreichen und die digitale Zukunft für Mieter in Deutschland </w:t>
      </w:r>
      <w:r w:rsidR="00EC46C3">
        <w:rPr>
          <w:rFonts w:ascii="Arial" w:hAnsi="Arial" w:cs="Arial"/>
        </w:rPr>
        <w:t xml:space="preserve">mit FTTH </w:t>
      </w:r>
      <w:r w:rsidRPr="00B5764D">
        <w:rPr>
          <w:rFonts w:ascii="Arial" w:hAnsi="Arial" w:cs="Arial"/>
        </w:rPr>
        <w:t xml:space="preserve">zu sichern. Die Wohnungswirtschaft ist bereit – </w:t>
      </w:r>
      <w:r w:rsidR="00AE465A">
        <w:rPr>
          <w:rFonts w:ascii="Arial" w:hAnsi="Arial" w:cs="Arial"/>
        </w:rPr>
        <w:t>jetzt</w:t>
      </w:r>
      <w:r w:rsidR="00AE465A" w:rsidRPr="00B5764D">
        <w:rPr>
          <w:rFonts w:ascii="Arial" w:hAnsi="Arial" w:cs="Arial"/>
        </w:rPr>
        <w:t xml:space="preserve"> </w:t>
      </w:r>
      <w:r w:rsidRPr="00B5764D">
        <w:rPr>
          <w:rFonts w:ascii="Arial" w:hAnsi="Arial" w:cs="Arial"/>
        </w:rPr>
        <w:t>muss die Politik die entscheidenden Weichen für partnerschaftliche und wettbewerbsorientierte Lösungen stellen.</w:t>
      </w:r>
    </w:p>
    <w:p w14:paraId="12CF464A" w14:textId="77777777" w:rsidR="008F13E1" w:rsidRPr="00B5764D" w:rsidRDefault="008F13E1" w:rsidP="00A57D9E">
      <w:pPr>
        <w:spacing w:line="360" w:lineRule="auto"/>
        <w:ind w:right="1134"/>
        <w:rPr>
          <w:rFonts w:ascii="Arial" w:hAnsi="Arial" w:cs="Arial"/>
        </w:rPr>
      </w:pPr>
    </w:p>
    <w:p w14:paraId="01C6208B" w14:textId="1E5F0B1D" w:rsidR="00150282" w:rsidRDefault="00150282">
      <w:pPr>
        <w:rPr>
          <w:rFonts w:ascii="Arial" w:hAnsi="Arial" w:cs="Arial"/>
          <w:b/>
          <w:lang w:eastAsia="zh-CN"/>
        </w:rPr>
      </w:pPr>
    </w:p>
    <w:p w14:paraId="12A76B79" w14:textId="1ED8E496" w:rsidR="00150282" w:rsidRDefault="00150282" w:rsidP="00150282">
      <w:pPr>
        <w:pStyle w:val="bodytext"/>
        <w:tabs>
          <w:tab w:val="left" w:pos="7560"/>
        </w:tabs>
        <w:spacing w:after="0" w:line="240" w:lineRule="auto"/>
        <w:outlineLvl w:val="0"/>
        <w:rPr>
          <w:rFonts w:ascii="Arial" w:hAnsi="Arial" w:cs="Arial"/>
          <w:b/>
          <w:sz w:val="22"/>
          <w:szCs w:val="22"/>
        </w:rPr>
      </w:pPr>
      <w:r>
        <w:rPr>
          <w:rFonts w:ascii="Arial" w:hAnsi="Arial" w:cs="Arial"/>
          <w:b/>
          <w:sz w:val="22"/>
          <w:szCs w:val="22"/>
        </w:rPr>
        <w:t>Unternehmensgruppe Nassauische Heimstätte | Wohnstadt</w:t>
      </w:r>
    </w:p>
    <w:p w14:paraId="3BD2C032" w14:textId="77777777" w:rsidR="00150282" w:rsidRDefault="00150282" w:rsidP="00150282">
      <w:pPr>
        <w:ind w:right="1134"/>
        <w:rPr>
          <w:rFonts w:ascii="Arial" w:hAnsi="Arial" w:cs="Arial"/>
        </w:rPr>
      </w:pPr>
      <w:r>
        <w:rPr>
          <w:rFonts w:ascii="Arial" w:hAnsi="Arial" w:cs="Arial"/>
        </w:rPr>
        <w:t xml:space="preserve">Die Unternehmensgruppe Nassauische Heimstätte | Wohnstadt (NHW) mit Sitz in Frankfurt am Main und Kassel bietet seit über 100 Jahren umfassende Dienstleistungen in den Bereichen Wohnen, Bauen und Entwickeln. Sie beschäftigt mehr als 900 Mitarbeitende. Mit rund 61.000 Mietwohnungen an 112 Standorten in Hessen gehört sie zu den führenden deutschen Wohnungsunternehmen. Unter der NHW-Marke ProjektStadt führt sie nachhaltige Stadtentwicklungsaufgaben durch. Sie ist Gründungsmitglied der Initiative Wohnen.2050, um dem Klimaschutz in der Wohnungswirtschaft mehr Schlagkraft zu verleihen. Mit hubitation verfügt die NHW zudem über ein Startup- und Ideennetzwerk rund um innovatives Wohnen. </w:t>
      </w:r>
    </w:p>
    <w:p w14:paraId="1F2423B2" w14:textId="77777777" w:rsidR="00150282" w:rsidRPr="002D045B" w:rsidRDefault="00150282" w:rsidP="00150282">
      <w:pPr>
        <w:ind w:right="1871"/>
        <w:rPr>
          <w:rFonts w:ascii="Arial" w:hAnsi="Arial" w:cs="Arial"/>
        </w:rPr>
      </w:pPr>
      <w:hyperlink r:id="rId8" w:history="1">
        <w:r w:rsidRPr="002D045B">
          <w:rPr>
            <w:rStyle w:val="Hyperlink"/>
            <w:rFonts w:ascii="Arial" w:hAnsi="Arial" w:cs="Arial"/>
          </w:rPr>
          <w:t>www.nhw.de/</w:t>
        </w:r>
      </w:hyperlink>
    </w:p>
    <w:p w14:paraId="478B2FFA" w14:textId="3B63EFD9" w:rsidR="00822AE4" w:rsidRDefault="00822AE4" w:rsidP="008F13E1">
      <w:pPr>
        <w:spacing w:line="360" w:lineRule="auto"/>
        <w:ind w:left="709" w:right="1134" w:hanging="709"/>
        <w:rPr>
          <w:rFonts w:ascii="Arial" w:hAnsi="Arial" w:cs="Arial"/>
        </w:rPr>
      </w:pPr>
    </w:p>
    <w:p w14:paraId="753DBD30" w14:textId="3067F4F4" w:rsidR="00057D27" w:rsidRDefault="00A01CB9" w:rsidP="00162755">
      <w:pPr>
        <w:ind w:left="709" w:right="1134" w:hanging="709"/>
        <w:rPr>
          <w:rFonts w:ascii="Arial" w:hAnsi="Arial" w:cs="Arial"/>
        </w:rPr>
      </w:pPr>
      <w:r w:rsidRPr="00C71372">
        <w:rPr>
          <w:rFonts w:ascii="Arial" w:hAnsi="Arial" w:cs="Arial"/>
          <w:b/>
        </w:rPr>
        <w:t>TKI mbH</w:t>
      </w:r>
    </w:p>
    <w:p w14:paraId="219B9344" w14:textId="78E4FD9A" w:rsidR="005D3F38" w:rsidRDefault="00AE465A" w:rsidP="008F13E1">
      <w:pPr>
        <w:ind w:right="1134"/>
        <w:rPr>
          <w:rFonts w:ascii="Arial" w:hAnsi="Arial" w:cs="Arial"/>
        </w:rPr>
      </w:pPr>
      <w:r w:rsidRPr="00162755">
        <w:rPr>
          <w:rFonts w:ascii="Arial" w:hAnsi="Arial" w:cs="Arial"/>
        </w:rPr>
        <w:t>TKI mbH</w:t>
      </w:r>
      <w:r w:rsidRPr="00AE465A">
        <w:rPr>
          <w:rFonts w:ascii="Arial" w:hAnsi="Arial" w:cs="Arial"/>
        </w:rPr>
        <w:t xml:space="preserve"> ist ein führendes Systemhaus für Telekommunikations- und Leitungsinfrastruktur mit Sitz in Chemnitz. Seit über 3</w:t>
      </w:r>
      <w:r>
        <w:rPr>
          <w:rFonts w:ascii="Arial" w:hAnsi="Arial" w:cs="Arial"/>
        </w:rPr>
        <w:t>5</w:t>
      </w:r>
      <w:r w:rsidRPr="00AE465A">
        <w:rPr>
          <w:rFonts w:ascii="Arial" w:hAnsi="Arial" w:cs="Arial"/>
        </w:rPr>
        <w:t xml:space="preserve"> Jahren unterstützt das mittelständische Unternehmen </w:t>
      </w:r>
      <w:r>
        <w:rPr>
          <w:rFonts w:ascii="Arial" w:hAnsi="Arial" w:cs="Arial"/>
        </w:rPr>
        <w:t xml:space="preserve">Wohnungsunternehmen, </w:t>
      </w:r>
      <w:r w:rsidRPr="00AE465A">
        <w:rPr>
          <w:rFonts w:ascii="Arial" w:hAnsi="Arial" w:cs="Arial"/>
        </w:rPr>
        <w:t xml:space="preserve">Netzbetreiber, Stadtwerke und Kommunen bei der Planung, dem Bau und der Dokumentation moderner Glasfaser-, Breitband- und Fernmeldenetze. Mit rund 200 Mitarbeitenden bietet TKI ein breites Leistungsspektrum: von strategischer Beratung und Netzkonzeption über Ausschreibung und Bauüberwachung bis hin zu innovativen Softwarelösungen </w:t>
      </w:r>
      <w:r w:rsidRPr="00AE465A">
        <w:rPr>
          <w:rFonts w:ascii="Arial" w:hAnsi="Arial" w:cs="Arial"/>
        </w:rPr>
        <w:lastRenderedPageBreak/>
        <w:t>für die automatisierte Planung und das Management von FTTX-Netzen. Darüber hinaus engagiert sich TKI in zukunftsorientierten Projekten wie Smart-City- und Quartiersentwicklung sowie Wärmeplanung</w:t>
      </w:r>
      <w:r>
        <w:rPr>
          <w:rFonts w:ascii="Arial" w:hAnsi="Arial" w:cs="Arial"/>
        </w:rPr>
        <w:t xml:space="preserve"> und Energiekonzepte</w:t>
      </w:r>
      <w:r w:rsidRPr="00AE465A">
        <w:rPr>
          <w:rFonts w:ascii="Arial" w:hAnsi="Arial" w:cs="Arial"/>
        </w:rPr>
        <w:t>. Als unabhängiger Partner steht TKI für technologische Kompetenz, Investitionssicherheit und nachhaltige Infrastrukturentwicklung.</w:t>
      </w:r>
    </w:p>
    <w:p w14:paraId="4FFE83EE" w14:textId="2E115DF8" w:rsidR="00162755" w:rsidRPr="00822AE4" w:rsidRDefault="00162755" w:rsidP="008F13E1">
      <w:pPr>
        <w:ind w:right="1134"/>
        <w:rPr>
          <w:rFonts w:ascii="Arial" w:hAnsi="Arial" w:cs="Arial"/>
        </w:rPr>
      </w:pPr>
      <w:hyperlink r:id="rId9" w:history="1">
        <w:r w:rsidRPr="00162755">
          <w:rPr>
            <w:rStyle w:val="Hyperlink"/>
            <w:rFonts w:ascii="Arial" w:hAnsi="Arial" w:cs="Arial"/>
          </w:rPr>
          <w:t>www.tki-chemnitz.de</w:t>
        </w:r>
      </w:hyperlink>
      <w:r>
        <w:rPr>
          <w:rFonts w:ascii="Arial" w:hAnsi="Arial" w:cs="Arial"/>
        </w:rPr>
        <w:t>/</w:t>
      </w:r>
    </w:p>
    <w:sectPr w:rsidR="00162755" w:rsidRPr="00822AE4">
      <w:headerReference w:type="default" r:id="rId10"/>
      <w:footerReference w:type="default" r:id="rId11"/>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17CD1" w14:textId="77777777" w:rsidR="00AE3969" w:rsidRDefault="00AE3969">
      <w:r>
        <w:separator/>
      </w:r>
    </w:p>
  </w:endnote>
  <w:endnote w:type="continuationSeparator" w:id="0">
    <w:p w14:paraId="3675057B" w14:textId="77777777" w:rsidR="00AE3969" w:rsidRDefault="00AE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8BC0" w14:textId="77777777" w:rsidR="005D3F38" w:rsidRDefault="005D3F38">
    <w:pPr>
      <w:pStyle w:val="Fuzeile"/>
      <w:pBdr>
        <w:bottom w:val="single" w:sz="4" w:space="1" w:color="auto"/>
      </w:pBdr>
      <w:rPr>
        <w:sz w:val="16"/>
        <w:szCs w:val="16"/>
      </w:rPr>
    </w:pPr>
  </w:p>
  <w:p w14:paraId="338D1F1D" w14:textId="77777777" w:rsidR="005D3F38" w:rsidRDefault="005D3F38">
    <w:pPr>
      <w:pStyle w:val="Fuzeile"/>
      <w:pBdr>
        <w:bottom w:val="single" w:sz="4" w:space="1" w:color="auto"/>
      </w:pBdr>
      <w:rPr>
        <w:sz w:val="16"/>
        <w:szCs w:val="16"/>
      </w:rPr>
    </w:pPr>
  </w:p>
  <w:p w14:paraId="47EF779F" w14:textId="77777777" w:rsidR="005D3F38" w:rsidRDefault="005D3F38">
    <w:pPr>
      <w:pStyle w:val="Fuzeile"/>
      <w:rPr>
        <w:rFonts w:ascii="Arial" w:hAnsi="Arial" w:cs="Arial"/>
        <w:color w:val="000000"/>
        <w:sz w:val="16"/>
        <w:szCs w:val="16"/>
      </w:rPr>
    </w:pPr>
  </w:p>
  <w:p w14:paraId="48CCF1AB" w14:textId="77777777" w:rsidR="005D3F38" w:rsidRDefault="00B030CD">
    <w:pPr>
      <w:pStyle w:val="Fuzeile"/>
      <w:rPr>
        <w:rFonts w:ascii="Arial" w:hAnsi="Arial" w:cs="Arial"/>
        <w:b/>
        <w:bCs/>
        <w:color w:val="000000"/>
        <w:sz w:val="16"/>
        <w:szCs w:val="16"/>
      </w:rPr>
    </w:pPr>
    <w:r>
      <w:rPr>
        <w:rFonts w:ascii="Arial" w:hAnsi="Arial" w:cs="Arial"/>
        <w:b/>
        <w:bCs/>
        <w:color w:val="000000"/>
        <w:sz w:val="16"/>
        <w:szCs w:val="16"/>
      </w:rPr>
      <w:t>Pressekontakt:</w:t>
    </w:r>
  </w:p>
  <w:p w14:paraId="795FFDF7" w14:textId="77777777" w:rsidR="005D3F38" w:rsidRDefault="005D3F38">
    <w:pPr>
      <w:pStyle w:val="Fuzeile"/>
      <w:rPr>
        <w:rFonts w:ascii="Arial" w:hAnsi="Arial" w:cs="Arial"/>
        <w:b/>
        <w:bCs/>
        <w:color w:val="000000"/>
        <w:sz w:val="16"/>
        <w:szCs w:val="16"/>
      </w:rPr>
    </w:pPr>
  </w:p>
  <w:p w14:paraId="729EEC8E" w14:textId="129568F5" w:rsidR="005D3F38" w:rsidRDefault="00B030CD">
    <w:pPr>
      <w:pStyle w:val="Fuzeile"/>
      <w:rPr>
        <w:rFonts w:ascii="Arial" w:hAnsi="Arial" w:cs="Arial"/>
        <w:sz w:val="16"/>
        <w:szCs w:val="16"/>
      </w:rPr>
    </w:pPr>
    <w:r>
      <w:rPr>
        <w:rFonts w:ascii="Arial" w:hAnsi="Arial" w:cs="Arial"/>
        <w:sz w:val="16"/>
        <w:szCs w:val="16"/>
      </w:rPr>
      <w:t xml:space="preserve">Nassauische Heimstätte Wohnungs- und Entwicklungsgesellschaft mbH | </w:t>
    </w:r>
    <w:r w:rsidR="00693DCA">
      <w:rPr>
        <w:rFonts w:ascii="Arial" w:hAnsi="Arial" w:cs="Arial"/>
        <w:sz w:val="16"/>
        <w:szCs w:val="16"/>
      </w:rPr>
      <w:t>Westhafenplatz 1</w:t>
    </w:r>
    <w:r>
      <w:rPr>
        <w:rFonts w:ascii="Arial" w:hAnsi="Arial" w:cs="Arial"/>
        <w:sz w:val="16"/>
        <w:szCs w:val="16"/>
      </w:rPr>
      <w:t xml:space="preserve"> | 60</w:t>
    </w:r>
    <w:r w:rsidR="00693DCA">
      <w:rPr>
        <w:rFonts w:ascii="Arial" w:hAnsi="Arial" w:cs="Arial"/>
        <w:sz w:val="16"/>
        <w:szCs w:val="16"/>
      </w:rPr>
      <w:t>327</w:t>
    </w:r>
    <w:r>
      <w:rPr>
        <w:rFonts w:ascii="Arial" w:hAnsi="Arial" w:cs="Arial"/>
        <w:sz w:val="16"/>
        <w:szCs w:val="16"/>
      </w:rPr>
      <w:t xml:space="preserve"> Frankfurt am Main </w:t>
    </w:r>
  </w:p>
  <w:p w14:paraId="55E5FF4B" w14:textId="514E37FB" w:rsidR="005D3F38" w:rsidRDefault="00B030CD">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sidR="00F82740" w:rsidRPr="006F6386">
        <w:rPr>
          <w:rStyle w:val="Hyperlink"/>
          <w:rFonts w:ascii="Arial" w:hAnsi="Arial" w:cs="Arial"/>
          <w:sz w:val="16"/>
          <w:szCs w:val="16"/>
        </w:rPr>
        <w:t>www.nhw.de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737FB5E3" w14:textId="77777777" w:rsidR="005D3F38" w:rsidRDefault="005D3F38">
    <w:pPr>
      <w:pStyle w:val="Fuzeile"/>
      <w:rPr>
        <w:rFonts w:ascii="Arial" w:hAnsi="Arial" w:cs="Arial"/>
        <w:sz w:val="16"/>
        <w:szCs w:val="16"/>
      </w:rPr>
    </w:pPr>
  </w:p>
  <w:p w14:paraId="0571B6E9" w14:textId="77777777" w:rsidR="005D3F38" w:rsidRDefault="005D3F38">
    <w:pPr>
      <w:pStyle w:val="Fuzeile"/>
      <w:jc w:val="center"/>
      <w:rPr>
        <w:rFonts w:ascii="Arial" w:hAnsi="Arial" w:cs="Arial"/>
        <w:sz w:val="10"/>
        <w:szCs w:val="10"/>
      </w:rPr>
    </w:pPr>
  </w:p>
  <w:p w14:paraId="7682BC6B" w14:textId="4EB871B3" w:rsidR="005D3F38" w:rsidRDefault="00B030CD">
    <w:pPr>
      <w:pStyle w:val="Fuzeile"/>
      <w:rPr>
        <w:rFonts w:ascii="Arial" w:hAnsi="Arial" w:cs="Arial"/>
        <w:sz w:val="10"/>
        <w:szCs w:val="10"/>
      </w:rPr>
    </w:pPr>
    <w:r>
      <w:rPr>
        <w:rFonts w:ascii="Arial" w:hAnsi="Arial" w:cs="Arial"/>
        <w:b/>
        <w:bCs/>
        <w:sz w:val="16"/>
        <w:szCs w:val="16"/>
      </w:rPr>
      <w:t>Pressemitteilungen und Pressebilder auch online im Presseportal unter www.</w:t>
    </w:r>
    <w:r w:rsidR="00F82740">
      <w:rPr>
        <w:rFonts w:ascii="Arial" w:hAnsi="Arial" w:cs="Arial"/>
        <w:b/>
        <w:bCs/>
        <w:sz w:val="16"/>
        <w:szCs w:val="16"/>
      </w:rPr>
      <w:t>nhw</w:t>
    </w:r>
    <w:r>
      <w:rPr>
        <w:rFonts w:ascii="Arial" w:hAnsi="Arial" w:cs="Arial"/>
        <w:b/>
        <w:bCs/>
        <w:sz w:val="16"/>
        <w:szCs w:val="16"/>
      </w:rPr>
      <w:t>.de</w:t>
    </w:r>
    <w:r w:rsidR="00693DCA">
      <w:rPr>
        <w:rFonts w:ascii="Arial" w:hAnsi="Arial" w:cs="Arial"/>
        <w:b/>
        <w:bCs/>
        <w:sz w:val="16"/>
        <w:szCs w:val="16"/>
      </w:rPr>
      <w:t>/newsroom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0BC2E" w14:textId="77777777" w:rsidR="00AE3969" w:rsidRDefault="00AE3969">
      <w:r>
        <w:separator/>
      </w:r>
    </w:p>
  </w:footnote>
  <w:footnote w:type="continuationSeparator" w:id="0">
    <w:p w14:paraId="5D90D20C" w14:textId="77777777" w:rsidR="00AE3969" w:rsidRDefault="00AE3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92C1" w14:textId="60F406C4" w:rsidR="005D3F38" w:rsidRDefault="00ED1CC1">
    <w:pPr>
      <w:pStyle w:val="Kopfzeile"/>
      <w:tabs>
        <w:tab w:val="clear" w:pos="4536"/>
        <w:tab w:val="clear" w:pos="9072"/>
      </w:tabs>
      <w:ind w:right="-426"/>
      <w:jc w:val="right"/>
      <w:rPr>
        <w:rFonts w:ascii="Arial" w:hAnsi="Arial" w:cs="Arial"/>
        <w:b/>
        <w:bCs/>
        <w:spacing w:val="60"/>
        <w:sz w:val="28"/>
        <w:szCs w:val="28"/>
      </w:rPr>
    </w:pPr>
    <w:bookmarkStart w:id="0" w:name="_Hlk208243220"/>
    <w:r>
      <w:rPr>
        <w:noProof/>
      </w:rPr>
      <w:drawing>
        <wp:anchor distT="0" distB="0" distL="114300" distR="114300" simplePos="0" relativeHeight="251659264" behindDoc="0" locked="0" layoutInCell="1" allowOverlap="1" wp14:anchorId="7BE5D159" wp14:editId="54E995C6">
          <wp:simplePos x="0" y="0"/>
          <wp:positionH relativeFrom="column">
            <wp:posOffset>5715</wp:posOffset>
          </wp:positionH>
          <wp:positionV relativeFrom="paragraph">
            <wp:posOffset>351679</wp:posOffset>
          </wp:positionV>
          <wp:extent cx="1771650" cy="148445"/>
          <wp:effectExtent l="0" t="0" r="0" b="4445"/>
          <wp:wrapNone/>
          <wp:docPr id="40557146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71467" name="Grafik 405571467"/>
                  <pic:cNvPicPr/>
                </pic:nvPicPr>
                <pic:blipFill>
                  <a:blip r:embed="rId1">
                    <a:extLst>
                      <a:ext uri="{96DAC541-7B7A-43D3-8B79-37D633B846F1}">
                        <asvg:svgBlip xmlns:asvg="http://schemas.microsoft.com/office/drawing/2016/SVG/main" r:embed="rId2"/>
                      </a:ext>
                    </a:extLst>
                  </a:blip>
                  <a:stretch>
                    <a:fillRect/>
                  </a:stretch>
                </pic:blipFill>
                <pic:spPr>
                  <a:xfrm>
                    <a:off x="0" y="0"/>
                    <a:ext cx="1771650" cy="148445"/>
                  </a:xfrm>
                  <a:prstGeom prst="rect">
                    <a:avLst/>
                  </a:prstGeom>
                </pic:spPr>
              </pic:pic>
            </a:graphicData>
          </a:graphic>
          <wp14:sizeRelH relativeFrom="margin">
            <wp14:pctWidth>0</wp14:pctWidth>
          </wp14:sizeRelH>
          <wp14:sizeRelV relativeFrom="margin">
            <wp14:pctHeight>0</wp14:pctHeight>
          </wp14:sizeRelV>
        </wp:anchor>
      </w:drawing>
    </w:r>
    <w:r w:rsidR="00B030CD">
      <w:rPr>
        <w:rFonts w:ascii="Arial" w:hAnsi="Arial" w:cs="Arial"/>
        <w:b/>
        <w:bCs/>
        <w:noProof/>
        <w:spacing w:val="60"/>
        <w:sz w:val="28"/>
        <w:szCs w:val="28"/>
      </w:rPr>
      <w:drawing>
        <wp:inline distT="0" distB="0" distL="0" distR="0" wp14:anchorId="587720C2" wp14:editId="06F10199">
          <wp:extent cx="1883722" cy="523875"/>
          <wp:effectExtent l="0" t="0" r="254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3">
                    <a:extLst>
                      <a:ext uri="{96DAC541-7B7A-43D3-8B79-37D633B846F1}">
                        <asvg:svgBlip xmlns:asvg="http://schemas.microsoft.com/office/drawing/2016/SVG/main" r:embed="rId4"/>
                      </a:ext>
                    </a:extLst>
                  </a:blip>
                  <a:stretch>
                    <a:fillRect/>
                  </a:stretch>
                </pic:blipFill>
                <pic:spPr>
                  <a:xfrm>
                    <a:off x="0" y="0"/>
                    <a:ext cx="1893973" cy="526726"/>
                  </a:xfrm>
                  <a:prstGeom prst="rect">
                    <a:avLst/>
                  </a:prstGeom>
                </pic:spPr>
              </pic:pic>
            </a:graphicData>
          </a:graphic>
        </wp:inline>
      </w:drawing>
    </w:r>
  </w:p>
  <w:bookmarkEnd w:id="0"/>
  <w:p w14:paraId="7C90FB68" w14:textId="77777777" w:rsidR="005D3F38" w:rsidRDefault="005D3F38">
    <w:pPr>
      <w:pStyle w:val="Kopfzeile"/>
      <w:rPr>
        <w:rFonts w:ascii="Arial" w:hAnsi="Arial" w:cs="Arial"/>
        <w:b/>
        <w:bCs/>
        <w:spacing w:val="60"/>
        <w:sz w:val="28"/>
        <w:szCs w:val="28"/>
      </w:rPr>
    </w:pPr>
  </w:p>
  <w:p w14:paraId="6109CA60" w14:textId="77777777" w:rsidR="005D3F38" w:rsidRDefault="005D3F38">
    <w:pPr>
      <w:pStyle w:val="Kopfzeile"/>
      <w:rPr>
        <w:rFonts w:ascii="Arial" w:hAnsi="Arial" w:cs="Arial"/>
        <w:b/>
        <w:bCs/>
        <w:spacing w:val="60"/>
        <w:sz w:val="28"/>
        <w:szCs w:val="28"/>
      </w:rPr>
    </w:pPr>
  </w:p>
  <w:p w14:paraId="4FA5BFFB" w14:textId="77777777" w:rsidR="005D3F38" w:rsidRDefault="00B030CD">
    <w:pPr>
      <w:pStyle w:val="Kopfzeile"/>
      <w:rPr>
        <w:rFonts w:ascii="Arial" w:hAnsi="Arial" w:cs="Arial"/>
        <w:b/>
        <w:bCs/>
        <w:spacing w:val="60"/>
        <w:sz w:val="36"/>
        <w:szCs w:val="36"/>
      </w:rPr>
    </w:pPr>
    <w:r>
      <w:rPr>
        <w:rFonts w:ascii="Arial" w:hAnsi="Arial" w:cs="Arial"/>
        <w:b/>
        <w:bCs/>
        <w:spacing w:val="60"/>
        <w:sz w:val="36"/>
        <w:szCs w:val="36"/>
      </w:rPr>
      <w:t>PRESSE-INFORMATION</w:t>
    </w:r>
  </w:p>
  <w:p w14:paraId="24C2EABC" w14:textId="77777777" w:rsidR="005D3F38" w:rsidRDefault="005D3F38">
    <w:pPr>
      <w:pStyle w:val="Kopfzeile"/>
      <w:rPr>
        <w:rFonts w:ascii="Arial" w:hAnsi="Arial" w:cs="Arial"/>
        <w:b/>
        <w:bCs/>
        <w:spacing w:val="60"/>
        <w:sz w:val="24"/>
        <w:szCs w:val="24"/>
      </w:rPr>
    </w:pPr>
  </w:p>
  <w:p w14:paraId="64B3ED03" w14:textId="47FCADFD" w:rsidR="005D3F38" w:rsidRDefault="00B030CD">
    <w:pPr>
      <w:pStyle w:val="Kopfzeile"/>
      <w:rPr>
        <w:rFonts w:ascii="Arial" w:hAnsi="Arial" w:cs="Arial"/>
      </w:rPr>
    </w:pPr>
    <w:r>
      <w:rPr>
        <w:rFonts w:ascii="Arial" w:hAnsi="Arial" w:cs="Arial"/>
      </w:rPr>
      <w:t xml:space="preserve">Datum: </w:t>
    </w:r>
    <w:r w:rsidR="006A6D25">
      <w:rPr>
        <w:rFonts w:ascii="Arial" w:hAnsi="Arial" w:cs="Arial"/>
      </w:rPr>
      <w:t>02</w:t>
    </w:r>
    <w:r>
      <w:rPr>
        <w:rFonts w:ascii="Arial" w:hAnsi="Arial" w:cs="Arial"/>
      </w:rPr>
      <w:t>.</w:t>
    </w:r>
    <w:r w:rsidR="00693DCA">
      <w:rPr>
        <w:rFonts w:ascii="Arial" w:hAnsi="Arial" w:cs="Arial"/>
      </w:rPr>
      <w:t>1</w:t>
    </w:r>
    <w:r w:rsidR="006A6D25">
      <w:rPr>
        <w:rFonts w:ascii="Arial" w:hAnsi="Arial" w:cs="Arial"/>
      </w:rPr>
      <w:t>2</w:t>
    </w:r>
    <w:r>
      <w:rPr>
        <w:rFonts w:ascii="Arial" w:hAnsi="Arial" w:cs="Arial"/>
      </w:rPr>
      <w:t>.</w:t>
    </w:r>
    <w:r w:rsidR="00693DCA">
      <w:rPr>
        <w:rFonts w:ascii="Arial" w:hAnsi="Arial" w:cs="Arial"/>
      </w:rPr>
      <w:t>2025</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1</w:t>
    </w:r>
    <w:r>
      <w:rPr>
        <w:rFonts w:ascii="Arial" w:hAnsi="Arial" w:cs="Arial"/>
      </w:rPr>
      <w:fldChar w:fldCharType="end"/>
    </w:r>
  </w:p>
  <w:p w14:paraId="65986733" w14:textId="7751CFAD" w:rsidR="005D3F38" w:rsidRDefault="00B030CD">
    <w:pPr>
      <w:pStyle w:val="Kopfzeile"/>
      <w:rPr>
        <w:rFonts w:ascii="Arial" w:hAnsi="Arial" w:cs="Arial"/>
      </w:rPr>
    </w:pPr>
    <w:r>
      <w:rPr>
        <w:rFonts w:ascii="Arial" w:hAnsi="Arial" w:cs="Arial"/>
      </w:rPr>
      <w:t xml:space="preserve">Anzahl Zeichen inkl. Leerzeichen: </w:t>
    </w:r>
    <w:r w:rsidR="00EE1356">
      <w:rPr>
        <w:rFonts w:ascii="Arial" w:hAnsi="Arial" w:cs="Arial"/>
      </w:rPr>
      <w:t>5</w:t>
    </w:r>
    <w:r w:rsidR="00693DCA">
      <w:rPr>
        <w:rFonts w:ascii="Arial" w:hAnsi="Arial" w:cs="Arial"/>
      </w:rPr>
      <w:t>.</w:t>
    </w:r>
    <w:r w:rsidR="00EE1356">
      <w:rPr>
        <w:rFonts w:ascii="Arial" w:hAnsi="Arial" w:cs="Arial"/>
      </w:rPr>
      <w:t>65</w:t>
    </w:r>
    <w:r w:rsidR="00696EAC">
      <w:rPr>
        <w:rFonts w:ascii="Arial" w:hAnsi="Arial" w:cs="Arial"/>
      </w:rPr>
      <w:t>0</w:t>
    </w:r>
    <w:r>
      <w:rPr>
        <w:rFonts w:ascii="Arial" w:hAnsi="Arial" w:cs="Arial"/>
      </w:rPr>
      <w:t xml:space="preserve"> ohne Boilerplate</w:t>
    </w:r>
  </w:p>
  <w:p w14:paraId="22BC0AF0" w14:textId="77777777" w:rsidR="005D3F38" w:rsidRDefault="005D3F38">
    <w:pPr>
      <w:pStyle w:val="Kopfzeile"/>
      <w:rPr>
        <w:rFonts w:ascii="Arial" w:hAnsi="Arial" w:cs="Arial"/>
        <w:sz w:val="28"/>
        <w:szCs w:val="28"/>
      </w:rPr>
    </w:pPr>
  </w:p>
  <w:p w14:paraId="22FC52E2" w14:textId="77777777" w:rsidR="005D3F38" w:rsidRDefault="005D3F38">
    <w:pPr>
      <w:pStyle w:val="Kopfzeile"/>
      <w:rPr>
        <w:rFonts w:ascii="Arial" w:hAnsi="Arial" w:cs="Arial"/>
        <w:sz w:val="28"/>
        <w:szCs w:val="28"/>
      </w:rPr>
    </w:pPr>
  </w:p>
  <w:p w14:paraId="45047CB2" w14:textId="77777777" w:rsidR="005D3F38" w:rsidRDefault="005D3F38">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C24A3"/>
    <w:multiLevelType w:val="multilevel"/>
    <w:tmpl w:val="84A8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6683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8"/>
    <w:rsid w:val="00021739"/>
    <w:rsid w:val="00057D27"/>
    <w:rsid w:val="00073772"/>
    <w:rsid w:val="000F7FC3"/>
    <w:rsid w:val="00150282"/>
    <w:rsid w:val="00162755"/>
    <w:rsid w:val="001C2AD4"/>
    <w:rsid w:val="00205E88"/>
    <w:rsid w:val="00375CAC"/>
    <w:rsid w:val="003E453A"/>
    <w:rsid w:val="004821BF"/>
    <w:rsid w:val="004B5794"/>
    <w:rsid w:val="004F4964"/>
    <w:rsid w:val="005548BC"/>
    <w:rsid w:val="005C584C"/>
    <w:rsid w:val="005D3F38"/>
    <w:rsid w:val="00665AFE"/>
    <w:rsid w:val="00691296"/>
    <w:rsid w:val="00693DCA"/>
    <w:rsid w:val="00696EAC"/>
    <w:rsid w:val="006A6D25"/>
    <w:rsid w:val="00745CAC"/>
    <w:rsid w:val="00795C9A"/>
    <w:rsid w:val="007E5E68"/>
    <w:rsid w:val="00822AE4"/>
    <w:rsid w:val="00830C18"/>
    <w:rsid w:val="0086086A"/>
    <w:rsid w:val="008962BB"/>
    <w:rsid w:val="008F13E1"/>
    <w:rsid w:val="0094448C"/>
    <w:rsid w:val="009C0077"/>
    <w:rsid w:val="00A01CB9"/>
    <w:rsid w:val="00A11104"/>
    <w:rsid w:val="00A57D9E"/>
    <w:rsid w:val="00A62529"/>
    <w:rsid w:val="00AC1E02"/>
    <w:rsid w:val="00AC7417"/>
    <w:rsid w:val="00AE3969"/>
    <w:rsid w:val="00AE465A"/>
    <w:rsid w:val="00AF6E95"/>
    <w:rsid w:val="00B030CD"/>
    <w:rsid w:val="00B40DFB"/>
    <w:rsid w:val="00B66527"/>
    <w:rsid w:val="00C23607"/>
    <w:rsid w:val="00C71372"/>
    <w:rsid w:val="00CA38B7"/>
    <w:rsid w:val="00CB10BF"/>
    <w:rsid w:val="00D05066"/>
    <w:rsid w:val="00D319E1"/>
    <w:rsid w:val="00DD599A"/>
    <w:rsid w:val="00E147C7"/>
    <w:rsid w:val="00E73BB2"/>
    <w:rsid w:val="00EA0DC3"/>
    <w:rsid w:val="00EC46C3"/>
    <w:rsid w:val="00ED1CC1"/>
    <w:rsid w:val="00EE1356"/>
    <w:rsid w:val="00EE6DA5"/>
    <w:rsid w:val="00F301C4"/>
    <w:rsid w:val="00F3557F"/>
    <w:rsid w:val="00F61DB8"/>
    <w:rsid w:val="00F82740"/>
    <w:rsid w:val="00FE1023"/>
    <w:rsid w:val="00FF35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046A1"/>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82740"/>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NichtaufgelsteErwhnung">
    <w:name w:val="Unresolved Mention"/>
    <w:basedOn w:val="Absatz-Standardschriftart"/>
    <w:uiPriority w:val="99"/>
    <w:semiHidden/>
    <w:unhideWhenUsed/>
    <w:rsid w:val="00F82740"/>
    <w:rPr>
      <w:color w:val="605E5C"/>
      <w:shd w:val="clear" w:color="auto" w:fill="E1DFDD"/>
    </w:rPr>
  </w:style>
  <w:style w:type="paragraph" w:customStyle="1" w:styleId="paragraph">
    <w:name w:val="paragraph"/>
    <w:basedOn w:val="Standard"/>
    <w:rsid w:val="00F82740"/>
    <w:pPr>
      <w:spacing w:before="100" w:beforeAutospacing="1" w:after="100" w:afterAutospacing="1"/>
    </w:pPr>
    <w:rPr>
      <w:rFonts w:ascii="Times New Roman" w:eastAsia="Times New Roman" w:hAnsi="Times New Roman"/>
      <w:sz w:val="24"/>
      <w:szCs w:val="24"/>
      <w:lang w:eastAsia="de-DE"/>
    </w:rPr>
  </w:style>
  <w:style w:type="character" w:customStyle="1" w:styleId="normaltextrun">
    <w:name w:val="normaltextrun"/>
    <w:basedOn w:val="Absatz-Standardschriftart"/>
    <w:rsid w:val="00F82740"/>
  </w:style>
  <w:style w:type="character" w:customStyle="1" w:styleId="eop">
    <w:name w:val="eop"/>
    <w:basedOn w:val="Absatz-Standardschriftart"/>
    <w:rsid w:val="00F82740"/>
  </w:style>
  <w:style w:type="paragraph" w:styleId="berarbeitung">
    <w:name w:val="Revision"/>
    <w:hidden/>
    <w:uiPriority w:val="99"/>
    <w:semiHidden/>
    <w:rsid w:val="00830C18"/>
    <w:rPr>
      <w:rFonts w:ascii="Calibri" w:eastAsiaTheme="minorHAnsi" w:hAnsi="Calibri"/>
      <w:sz w:val="22"/>
      <w:szCs w:val="22"/>
      <w:lang w:eastAsia="en-US"/>
    </w:rPr>
  </w:style>
  <w:style w:type="character" w:styleId="Kommentarzeichen">
    <w:name w:val="annotation reference"/>
    <w:basedOn w:val="Absatz-Standardschriftart"/>
    <w:rsid w:val="00CA38B7"/>
    <w:rPr>
      <w:sz w:val="16"/>
      <w:szCs w:val="16"/>
    </w:rPr>
  </w:style>
  <w:style w:type="paragraph" w:styleId="Kommentarthema">
    <w:name w:val="annotation subject"/>
    <w:basedOn w:val="Kommentartext"/>
    <w:next w:val="Kommentartext"/>
    <w:link w:val="KommentarthemaZchn"/>
    <w:semiHidden/>
    <w:unhideWhenUsed/>
    <w:rsid w:val="00CA38B7"/>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CA38B7"/>
    <w:rPr>
      <w:rFonts w:ascii="Calibri" w:eastAsiaTheme="minorHAnsi" w:hAnsi="Calibri"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886374920">
      <w:bodyDiv w:val="1"/>
      <w:marLeft w:val="0"/>
      <w:marRight w:val="0"/>
      <w:marTop w:val="0"/>
      <w:marBottom w:val="0"/>
      <w:divBdr>
        <w:top w:val="none" w:sz="0" w:space="0" w:color="auto"/>
        <w:left w:val="none" w:sz="0" w:space="0" w:color="auto"/>
        <w:bottom w:val="none" w:sz="0" w:space="0" w:color="auto"/>
        <w:right w:val="none" w:sz="0" w:space="0" w:color="auto"/>
      </w:divBdr>
      <w:divsChild>
        <w:div w:id="1334796879">
          <w:marLeft w:val="0"/>
          <w:marRight w:val="0"/>
          <w:marTop w:val="0"/>
          <w:marBottom w:val="0"/>
          <w:divBdr>
            <w:top w:val="none" w:sz="0" w:space="0" w:color="auto"/>
            <w:left w:val="none" w:sz="0" w:space="0" w:color="auto"/>
            <w:bottom w:val="none" w:sz="0" w:space="0" w:color="auto"/>
            <w:right w:val="none" w:sz="0" w:space="0" w:color="auto"/>
          </w:divBdr>
        </w:div>
        <w:div w:id="344216177">
          <w:marLeft w:val="0"/>
          <w:marRight w:val="0"/>
          <w:marTop w:val="0"/>
          <w:marBottom w:val="0"/>
          <w:divBdr>
            <w:top w:val="none" w:sz="0" w:space="0" w:color="auto"/>
            <w:left w:val="none" w:sz="0" w:space="0" w:color="auto"/>
            <w:bottom w:val="none" w:sz="0" w:space="0" w:color="auto"/>
            <w:right w:val="none" w:sz="0" w:space="0" w:color="auto"/>
          </w:divBdr>
        </w:div>
        <w:div w:id="1346636405">
          <w:marLeft w:val="0"/>
          <w:marRight w:val="0"/>
          <w:marTop w:val="0"/>
          <w:marBottom w:val="0"/>
          <w:divBdr>
            <w:top w:val="none" w:sz="0" w:space="0" w:color="auto"/>
            <w:left w:val="none" w:sz="0" w:space="0" w:color="auto"/>
            <w:bottom w:val="none" w:sz="0" w:space="0" w:color="auto"/>
            <w:right w:val="none" w:sz="0" w:space="0" w:color="auto"/>
          </w:divBdr>
        </w:div>
      </w:divsChild>
    </w:div>
    <w:div w:id="1396969474">
      <w:bodyDiv w:val="1"/>
      <w:marLeft w:val="0"/>
      <w:marRight w:val="0"/>
      <w:marTop w:val="0"/>
      <w:marBottom w:val="0"/>
      <w:divBdr>
        <w:top w:val="none" w:sz="0" w:space="0" w:color="auto"/>
        <w:left w:val="none" w:sz="0" w:space="0" w:color="auto"/>
        <w:bottom w:val="none" w:sz="0" w:space="0" w:color="auto"/>
        <w:right w:val="none" w:sz="0" w:space="0" w:color="auto"/>
      </w:divBdr>
      <w:divsChild>
        <w:div w:id="834567996">
          <w:marLeft w:val="0"/>
          <w:marRight w:val="0"/>
          <w:marTop w:val="0"/>
          <w:marBottom w:val="0"/>
          <w:divBdr>
            <w:top w:val="none" w:sz="0" w:space="0" w:color="auto"/>
            <w:left w:val="none" w:sz="0" w:space="0" w:color="auto"/>
            <w:bottom w:val="none" w:sz="0" w:space="0" w:color="auto"/>
            <w:right w:val="none" w:sz="0" w:space="0" w:color="auto"/>
          </w:divBdr>
        </w:div>
        <w:div w:id="1628390339">
          <w:marLeft w:val="0"/>
          <w:marRight w:val="0"/>
          <w:marTop w:val="0"/>
          <w:marBottom w:val="0"/>
          <w:divBdr>
            <w:top w:val="none" w:sz="0" w:space="0" w:color="auto"/>
            <w:left w:val="none" w:sz="0" w:space="0" w:color="auto"/>
            <w:bottom w:val="none" w:sz="0" w:space="0" w:color="auto"/>
            <w:right w:val="none" w:sz="0" w:space="0" w:color="auto"/>
          </w:divBdr>
        </w:div>
        <w:div w:id="423840218">
          <w:marLeft w:val="0"/>
          <w:marRight w:val="0"/>
          <w:marTop w:val="0"/>
          <w:marBottom w:val="0"/>
          <w:divBdr>
            <w:top w:val="none" w:sz="0" w:space="0" w:color="auto"/>
            <w:left w:val="none" w:sz="0" w:space="0" w:color="auto"/>
            <w:bottom w:val="none" w:sz="0" w:space="0" w:color="auto"/>
            <w:right w:val="none" w:sz="0" w:space="0" w:color="auto"/>
          </w:divBdr>
        </w:div>
      </w:divsChild>
    </w:div>
    <w:div w:id="1718814713">
      <w:bodyDiv w:val="1"/>
      <w:marLeft w:val="0"/>
      <w:marRight w:val="0"/>
      <w:marTop w:val="0"/>
      <w:marBottom w:val="0"/>
      <w:divBdr>
        <w:top w:val="none" w:sz="0" w:space="0" w:color="auto"/>
        <w:left w:val="none" w:sz="0" w:space="0" w:color="auto"/>
        <w:bottom w:val="none" w:sz="0" w:space="0" w:color="auto"/>
        <w:right w:val="none" w:sz="0" w:space="0" w:color="auto"/>
      </w:divBdr>
      <w:divsChild>
        <w:div w:id="109325822">
          <w:marLeft w:val="0"/>
          <w:marRight w:val="0"/>
          <w:marTop w:val="0"/>
          <w:marBottom w:val="0"/>
          <w:divBdr>
            <w:top w:val="none" w:sz="0" w:space="0" w:color="auto"/>
            <w:left w:val="none" w:sz="0" w:space="0" w:color="auto"/>
            <w:bottom w:val="none" w:sz="0" w:space="0" w:color="auto"/>
            <w:right w:val="none" w:sz="0" w:space="0" w:color="auto"/>
          </w:divBdr>
        </w:div>
        <w:div w:id="1820879659">
          <w:marLeft w:val="0"/>
          <w:marRight w:val="0"/>
          <w:marTop w:val="0"/>
          <w:marBottom w:val="0"/>
          <w:divBdr>
            <w:top w:val="none" w:sz="0" w:space="0" w:color="auto"/>
            <w:left w:val="none" w:sz="0" w:space="0" w:color="auto"/>
            <w:bottom w:val="none" w:sz="0" w:space="0" w:color="auto"/>
            <w:right w:val="none" w:sz="0" w:space="0" w:color="auto"/>
          </w:divBdr>
        </w:div>
        <w:div w:id="1963265678">
          <w:marLeft w:val="0"/>
          <w:marRight w:val="0"/>
          <w:marTop w:val="0"/>
          <w:marBottom w:val="0"/>
          <w:divBdr>
            <w:top w:val="none" w:sz="0" w:space="0" w:color="auto"/>
            <w:left w:val="none" w:sz="0" w:space="0" w:color="auto"/>
            <w:bottom w:val="none" w:sz="0" w:space="0" w:color="auto"/>
            <w:right w:val="none" w:sz="0" w:space="0" w:color="auto"/>
          </w:divBdr>
        </w:div>
      </w:divsChild>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hw.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ki-chemnitz.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hw.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EDFB1-8C22-4BFE-B105-98E39CC8A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874</Words>
  <Characters>6538</Characters>
  <Application>Microsoft Office Word</Application>
  <DocSecurity>0</DocSecurity>
  <Lines>54</Lines>
  <Paragraphs>14</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7398</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Hell, Emanuel Maria</dc:creator>
  <cp:keywords/>
  <dc:description/>
  <cp:lastModifiedBy>Duffner, Jens</cp:lastModifiedBy>
  <cp:revision>6</cp:revision>
  <cp:lastPrinted>2025-11-05T14:21:00Z</cp:lastPrinted>
  <dcterms:created xsi:type="dcterms:W3CDTF">2025-11-19T09:33:00Z</dcterms:created>
  <dcterms:modified xsi:type="dcterms:W3CDTF">2025-12-02T15:10:00Z</dcterms:modified>
</cp:coreProperties>
</file>